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rPr>
          <w:rFonts w:ascii="Times New Roman"/>
          <w:sz w:val="20"/>
        </w:rPr>
      </w:pPr>
    </w:p>
    <w:p>
      <w:pPr>
        <w:pStyle w:val="2"/>
        <w:spacing w:before="9" w:after="1"/>
        <w:rPr>
          <w:rFonts w:ascii="Times New Roman"/>
          <w:sz w:val="23"/>
        </w:rPr>
      </w:pPr>
    </w:p>
    <w:p>
      <w:pPr>
        <w:pStyle w:val="2"/>
        <w:spacing w:before="0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121pt;width:497.3pt;" coordsize="9946,2420">
            <o:lock v:ext="edit"/>
            <v:shape id="_x0000_s1027" o:spid="_x0000_s1027" o:spt="75" type="#_x0000_t75" style="position:absolute;left:0;top:0;height:2420;width:9946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8" o:spid="_x0000_s1028" o:spt="202" type="#_x0000_t202" style="position:absolute;left:0;top:0;height:2420;width:99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rFonts w:ascii="Times New Roman"/>
                        <w:sz w:val="4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4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4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38"/>
                      </w:rPr>
                    </w:pPr>
                  </w:p>
                  <w:p>
                    <w:pPr>
                      <w:spacing w:before="0"/>
                      <w:ind w:left="3328" w:right="3298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乐业地信</w:t>
                    </w:r>
                    <w:r>
                      <w:rPr>
                        <w:rFonts w:hint="eastAsia" w:ascii="PMingLiU" w:eastAsia="PMingLiU"/>
                        <w:sz w:val="32"/>
                      </w:rPr>
                      <w:t>〔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2019</w:t>
                    </w:r>
                    <w:r>
                      <w:rPr>
                        <w:rFonts w:hint="eastAsia" w:ascii="PMingLiU" w:eastAsia="PMingLiU"/>
                        <w:sz w:val="32"/>
                      </w:rPr>
                      <w:t>〕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 xml:space="preserve">10 </w:t>
                    </w:r>
                    <w:r>
                      <w:rPr>
                        <w:sz w:val="32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0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8"/>
        </w:rPr>
      </w:pPr>
    </w:p>
    <w:p>
      <w:pPr>
        <w:spacing w:before="52" w:line="264" w:lineRule="auto"/>
        <w:ind w:left="2676" w:right="1876" w:hanging="768"/>
        <w:jc w:val="left"/>
        <w:rPr>
          <w:sz w:val="44"/>
        </w:rPr>
      </w:pPr>
      <w:r>
        <w:rPr>
          <w:spacing w:val="-23"/>
          <w:sz w:val="44"/>
        </w:rPr>
        <w:t xml:space="preserve">关于举办 </w:t>
      </w:r>
      <w:r>
        <w:rPr>
          <w:rFonts w:ascii="Times New Roman" w:eastAsia="Times New Roman"/>
          <w:sz w:val="44"/>
        </w:rPr>
        <w:t xml:space="preserve">2019 </w:t>
      </w:r>
      <w:r>
        <w:rPr>
          <w:spacing w:val="-2"/>
          <w:sz w:val="44"/>
        </w:rPr>
        <w:t>年度激光雷达数据</w:t>
      </w:r>
      <w:r>
        <w:rPr>
          <w:sz w:val="44"/>
        </w:rPr>
        <w:t>处理及应用培训班的通知</w:t>
      </w:r>
    </w:p>
    <w:p>
      <w:pPr>
        <w:pStyle w:val="2"/>
        <w:spacing w:before="7"/>
        <w:rPr>
          <w:sz w:val="57"/>
        </w:rPr>
      </w:pPr>
    </w:p>
    <w:p>
      <w:pPr>
        <w:pStyle w:val="2"/>
        <w:spacing w:before="0"/>
        <w:ind w:left="691"/>
      </w:pPr>
      <w:r>
        <w:t>各有关单位及个人：</w:t>
      </w:r>
    </w:p>
    <w:p>
      <w:pPr>
        <w:pStyle w:val="2"/>
        <w:spacing w:line="350" w:lineRule="auto"/>
        <w:ind w:left="691" w:right="514" w:firstLine="640"/>
      </w:pPr>
      <w:r>
        <w:rPr>
          <w:spacing w:val="-2"/>
        </w:rPr>
        <w:t>随着激光雷达技术的快速发展，多平台</w:t>
      </w:r>
      <w:r>
        <w:t>（无人机</w:t>
      </w:r>
      <w:r>
        <w:rPr>
          <w:rFonts w:ascii="Times New Roman" w:hAnsi="Times New Roman" w:eastAsia="Times New Roman"/>
        </w:rPr>
        <w:t>/</w:t>
      </w:r>
      <w:r>
        <w:t>直升机</w:t>
      </w:r>
      <w:r>
        <w:rPr>
          <w:rFonts w:ascii="Times New Roman" w:hAnsi="Times New Roman" w:eastAsia="Times New Roman"/>
        </w:rPr>
        <w:t>/</w:t>
      </w:r>
      <w:r>
        <w:t>车</w:t>
      </w:r>
      <w:r>
        <w:rPr>
          <w:spacing w:val="5"/>
        </w:rPr>
        <w:t>载</w:t>
      </w:r>
      <w:r>
        <w:rPr>
          <w:rFonts w:ascii="Times New Roman" w:hAnsi="Times New Roman" w:eastAsia="Times New Roman"/>
        </w:rPr>
        <w:t>/</w:t>
      </w:r>
      <w:r>
        <w:rPr>
          <w:spacing w:val="2"/>
        </w:rPr>
        <w:t>背包</w:t>
      </w:r>
      <w:r>
        <w:rPr>
          <w:spacing w:val="5"/>
        </w:rPr>
        <w:t>）</w:t>
      </w:r>
      <w:r>
        <w:t>激光雷达数据采集成为测绘及相关行业的重要作业手</w:t>
      </w:r>
      <w:r>
        <w:rPr>
          <w:spacing w:val="-13"/>
        </w:rPr>
        <w:t>段，越来越多的行业在点云数据获取数据后，结合行业特征将海量点云数据转化为生产力服务生产作业，实现数据的最大价值。</w:t>
      </w:r>
      <w:r>
        <w:rPr>
          <w:spacing w:val="-18"/>
        </w:rPr>
        <w:t xml:space="preserve">激光雷达测量技术在传统测绘、无人驾驶和智能机器人行业展现了广阔的市场前景。为了满足广大学员及用人单位的培训需求， </w:t>
      </w:r>
      <w:r>
        <w:rPr>
          <w:spacing w:val="-23"/>
        </w:rPr>
        <w:t>强化从业人员对激光雷达测量技术的理解和应用，北京乐业地信</w:t>
      </w:r>
      <w:r>
        <w:rPr>
          <w:spacing w:val="-25"/>
        </w:rPr>
        <w:t>文化传播有限公司与北京数字绿土科技有限公司、自然资源部职</w:t>
      </w:r>
      <w:r>
        <w:rPr>
          <w:spacing w:val="7"/>
        </w:rPr>
        <w:t>业技能鉴定指导中心（以下简称“技能鉴定中心”）</w:t>
      </w:r>
      <w:r>
        <w:rPr>
          <w:spacing w:val="5"/>
        </w:rPr>
        <w:t>联合举办</w:t>
      </w:r>
      <w:r>
        <w:rPr>
          <w:rFonts w:ascii="Times New Roman" w:hAnsi="Times New Roman" w:eastAsia="Times New Roman"/>
          <w:spacing w:val="5"/>
        </w:rPr>
        <w:t xml:space="preserve">2019 </w:t>
      </w:r>
      <w:r>
        <w:t>年度激光雷达数据处理及应用培训班。现将有关事项通知如下：</w:t>
      </w:r>
    </w:p>
    <w:p>
      <w:pPr>
        <w:pStyle w:val="2"/>
        <w:spacing w:before="15"/>
        <w:ind w:left="1332"/>
        <w:rPr>
          <w:rFonts w:hint="eastAsia" w:ascii="黑体" w:eastAsia="黑体"/>
        </w:rPr>
      </w:pPr>
      <w:r>
        <w:rPr>
          <w:rFonts w:hint="eastAsia" w:ascii="黑体" w:eastAsia="黑体"/>
        </w:rPr>
        <w:t>一、培训时间及地点</w:t>
      </w:r>
    </w:p>
    <w:p>
      <w:pPr>
        <w:pStyle w:val="2"/>
        <w:ind w:left="1332"/>
      </w:pPr>
      <w:r>
        <w:t>时间：</w:t>
      </w:r>
      <w:r>
        <w:rPr>
          <w:rFonts w:ascii="Times New Roman" w:eastAsia="Times New Roman"/>
        </w:rPr>
        <w:t xml:space="preserve">2019 </w:t>
      </w:r>
      <w:r>
        <w:t xml:space="preserve">年 </w:t>
      </w:r>
      <w:r>
        <w:rPr>
          <w:rFonts w:ascii="Times New Roman" w:eastAsia="Times New Roman"/>
        </w:rPr>
        <w:t xml:space="preserve">10 </w:t>
      </w:r>
      <w:r>
        <w:t xml:space="preserve">月 </w:t>
      </w:r>
      <w:r>
        <w:rPr>
          <w:rFonts w:ascii="Times New Roman" w:eastAsia="Times New Roman"/>
        </w:rPr>
        <w:t xml:space="preserve">12 </w:t>
      </w:r>
      <w:r>
        <w:t>日</w:t>
      </w:r>
      <w:r>
        <w:rPr>
          <w:rFonts w:ascii="Times New Roman" w:eastAsia="Times New Roman"/>
        </w:rPr>
        <w:t xml:space="preserve">-14 </w:t>
      </w:r>
      <w:r>
        <w:t>日上午（</w:t>
      </w:r>
      <w:r>
        <w:rPr>
          <w:rFonts w:ascii="Times New Roman" w:eastAsia="Times New Roman"/>
        </w:rPr>
        <w:t xml:space="preserve">10 </w:t>
      </w:r>
      <w:r>
        <w:t xml:space="preserve">月 </w:t>
      </w:r>
      <w:r>
        <w:rPr>
          <w:rFonts w:ascii="Times New Roman" w:eastAsia="Times New Roman"/>
        </w:rPr>
        <w:t xml:space="preserve">11 </w:t>
      </w:r>
      <w:r>
        <w:t>日报到）</w:t>
      </w:r>
    </w:p>
    <w:p>
      <w:pPr>
        <w:spacing w:after="0"/>
        <w:sectPr>
          <w:type w:val="continuous"/>
          <w:pgSz w:w="11910" w:h="16840"/>
          <w:pgMar w:top="1580" w:right="800" w:bottom="280" w:left="940" w:header="720" w:footer="720" w:gutter="0"/>
        </w:sectPr>
      </w:pPr>
    </w:p>
    <w:p>
      <w:pPr>
        <w:pStyle w:val="2"/>
        <w:spacing w:before="43"/>
        <w:ind w:left="1332"/>
      </w:pPr>
      <w:r>
        <w:t>地点：江苏·南京</w:t>
      </w:r>
    </w:p>
    <w:p>
      <w:pPr>
        <w:pStyle w:val="2"/>
        <w:ind w:left="1332"/>
        <w:rPr>
          <w:rFonts w:hint="eastAsia" w:ascii="黑体" w:eastAsia="黑体"/>
        </w:rPr>
      </w:pPr>
      <w:r>
        <w:rPr>
          <w:rFonts w:hint="eastAsia" w:ascii="黑体" w:eastAsia="黑体"/>
        </w:rPr>
        <w:t>二、培训目的</w:t>
      </w:r>
    </w:p>
    <w:p>
      <w:pPr>
        <w:pStyle w:val="2"/>
        <w:spacing w:line="350" w:lineRule="auto"/>
        <w:ind w:left="691" w:right="502" w:firstLine="640"/>
      </w:pPr>
      <w:r>
        <w:rPr>
          <w:spacing w:val="-13"/>
        </w:rPr>
        <w:t>通过培训，使学员掌握激光雷达的基本原理，了解激光雷达</w:t>
      </w:r>
      <w:r>
        <w:rPr>
          <w:spacing w:val="-21"/>
          <w:w w:val="95"/>
        </w:rPr>
        <w:t xml:space="preserve">在地形、电力、农林、矿山智能测绘等相关行业的优势及其应用， </w:t>
      </w:r>
      <w:r>
        <w:rPr>
          <w:spacing w:val="-24"/>
        </w:rPr>
        <w:t>熟悉激光雷达点云数据处理的基本流程与操作，掌握激光雷达行业作业方案和实战技巧。</w:t>
      </w:r>
    </w:p>
    <w:p>
      <w:pPr>
        <w:pStyle w:val="2"/>
        <w:spacing w:before="5"/>
        <w:ind w:left="1332"/>
        <w:rPr>
          <w:rFonts w:hint="eastAsia" w:ascii="黑体" w:eastAsia="黑体"/>
        </w:rPr>
      </w:pPr>
      <w:r>
        <w:rPr>
          <w:rFonts w:hint="eastAsia" w:ascii="黑体" w:eastAsia="黑体"/>
        </w:rPr>
        <w:t>三、培训对象</w:t>
      </w:r>
    </w:p>
    <w:p>
      <w:pPr>
        <w:pStyle w:val="2"/>
        <w:spacing w:line="350" w:lineRule="auto"/>
        <w:ind w:left="691" w:right="502" w:firstLine="640"/>
      </w:pPr>
      <w:r>
        <w:rPr>
          <w:spacing w:val="-20"/>
          <w:w w:val="95"/>
        </w:rPr>
        <w:t xml:space="preserve">各省市、自治区有关单位从事自然资源、勘测、规划、市政、 </w:t>
      </w:r>
      <w:r>
        <w:rPr>
          <w:spacing w:val="-15"/>
        </w:rPr>
        <w:t>交通、铁道、水利水电、建筑、矿山、道桥、气象、地震、公共安全、石油石化、园区管理等行业和部门管理人员及专业技术人员。</w:t>
      </w:r>
    </w:p>
    <w:p>
      <w:pPr>
        <w:pStyle w:val="2"/>
        <w:spacing w:before="6"/>
        <w:ind w:left="1332"/>
        <w:rPr>
          <w:rFonts w:hint="eastAsia" w:ascii="黑体" w:eastAsia="黑体"/>
        </w:rPr>
      </w:pPr>
      <w:r>
        <w:rPr>
          <w:rFonts w:hint="eastAsia" w:ascii="黑体" w:eastAsia="黑体"/>
        </w:rPr>
        <w:t>四、培训内容</w:t>
      </w:r>
    </w:p>
    <w:p>
      <w:pPr>
        <w:pStyle w:val="2"/>
        <w:ind w:left="1332"/>
      </w:pPr>
      <w:r>
        <w:t>1、激光雷达技术的前沿进展与应用</w:t>
      </w:r>
    </w:p>
    <w:p>
      <w:pPr>
        <w:pStyle w:val="2"/>
        <w:ind w:left="1332"/>
      </w:pPr>
      <w:r>
        <w:t>2、激光雷达应用于不同场景测绘的作业概要和注意事项</w:t>
      </w:r>
    </w:p>
    <w:p>
      <w:pPr>
        <w:pStyle w:val="2"/>
        <w:ind w:left="1332"/>
      </w:pPr>
      <w:r>
        <w:t>3、激光雷达数据解算与数据质量评估</w:t>
      </w:r>
    </w:p>
    <w:p>
      <w:pPr>
        <w:pStyle w:val="2"/>
        <w:ind w:left="1332"/>
      </w:pPr>
      <w:r>
        <w:t>4、激光雷达数据内业处理方法与关键技术</w:t>
      </w:r>
    </w:p>
    <w:p>
      <w:pPr>
        <w:pStyle w:val="2"/>
        <w:ind w:left="1332"/>
      </w:pPr>
      <w:r>
        <w:t>5、激光雷达生产高精度地形产品的原理和流程</w:t>
      </w:r>
    </w:p>
    <w:p>
      <w:pPr>
        <w:pStyle w:val="2"/>
        <w:ind w:left="1332"/>
      </w:pPr>
      <w:r>
        <w:t>6、激光雷达衍生产品的场景应用案例——地质灾害勘测与</w:t>
      </w:r>
    </w:p>
    <w:p>
      <w:pPr>
        <w:pStyle w:val="2"/>
        <w:ind w:left="691"/>
      </w:pPr>
      <w:r>
        <w:t>分析</w:t>
      </w:r>
    </w:p>
    <w:p>
      <w:pPr>
        <w:pStyle w:val="2"/>
        <w:ind w:left="1332"/>
      </w:pPr>
      <w:r>
        <w:t>7、激光雷达衍生产品的场景应用案例——精准林业调研与</w:t>
      </w:r>
    </w:p>
    <w:p>
      <w:pPr>
        <w:pStyle w:val="2"/>
        <w:ind w:left="691"/>
      </w:pPr>
      <w:r>
        <w:t>分析</w:t>
      </w:r>
    </w:p>
    <w:p>
      <w:pPr>
        <w:pStyle w:val="2"/>
        <w:ind w:left="1332"/>
      </w:pPr>
      <w:r>
        <w:t>8、激光雷达衍生产品的场景应用案例——电力智能巡检与</w:t>
      </w:r>
    </w:p>
    <w:p>
      <w:pPr>
        <w:pStyle w:val="2"/>
        <w:ind w:left="691"/>
      </w:pPr>
      <w:r>
        <w:t>管理</w:t>
      </w:r>
    </w:p>
    <w:p>
      <w:pPr>
        <w:spacing w:after="0"/>
        <w:sectPr>
          <w:pgSz w:w="11910" w:h="16840"/>
          <w:pgMar w:top="1540" w:right="800" w:bottom="280" w:left="940" w:header="720" w:footer="720" w:gutter="0"/>
        </w:sectPr>
      </w:pPr>
    </w:p>
    <w:p>
      <w:pPr>
        <w:pStyle w:val="2"/>
        <w:spacing w:before="43"/>
        <w:ind w:left="1332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五</w:t>
      </w:r>
      <w:r>
        <w:rPr>
          <w:rFonts w:hint="eastAsia" w:ascii="黑体" w:eastAsia="黑体"/>
        </w:rPr>
        <w:t>、收费标准</w:t>
      </w:r>
    </w:p>
    <w:p>
      <w:pPr>
        <w:pStyle w:val="2"/>
        <w:spacing w:line="350" w:lineRule="auto"/>
        <w:ind w:left="691" w:right="506" w:firstLine="640"/>
      </w:pPr>
      <w:r>
        <w:t xml:space="preserve">培训费用 </w:t>
      </w:r>
      <w:r>
        <w:rPr>
          <w:rFonts w:ascii="Times New Roman" w:eastAsia="Times New Roman"/>
        </w:rPr>
        <w:t xml:space="preserve">2500 </w:t>
      </w:r>
      <w:r>
        <w:t>元</w:t>
      </w:r>
      <w:r>
        <w:rPr>
          <w:rFonts w:ascii="Times New Roman" w:eastAsia="Times New Roman"/>
        </w:rPr>
        <w:t>/</w:t>
      </w:r>
      <w:r>
        <w:t>人，含培训费、资料费、场地租赁费等。食宿统一安排，费用自理。</w:t>
      </w:r>
    </w:p>
    <w:p>
      <w:pPr>
        <w:spacing w:before="0" w:line="486" w:lineRule="exact"/>
        <w:ind w:left="1332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汇款账号</w:t>
      </w:r>
    </w:p>
    <w:p>
      <w:pPr>
        <w:pStyle w:val="2"/>
        <w:tabs>
          <w:tab w:val="left" w:pos="2292"/>
        </w:tabs>
        <w:spacing w:before="117" w:line="350" w:lineRule="auto"/>
        <w:ind w:left="1332" w:right="2752"/>
        <w:rPr>
          <w:rFonts w:ascii="Times New Roman" w:eastAsia="Times New Roman"/>
        </w:rPr>
      </w:pPr>
      <w:r>
        <w:t>公司名称：北京乐业地信文化传播有限公</w:t>
      </w:r>
      <w:r>
        <w:rPr>
          <w:spacing w:val="-12"/>
        </w:rPr>
        <w:t>司</w:t>
      </w:r>
      <w:r>
        <w:t>银行名称：中国工商银行北京六里桥支行 账</w:t>
      </w:r>
      <w:r>
        <w:tab/>
      </w:r>
      <w:r>
        <w:t>号：</w:t>
      </w:r>
      <w:r>
        <w:rPr>
          <w:spacing w:val="-80"/>
        </w:rPr>
        <w:t xml:space="preserve"> </w:t>
      </w:r>
      <w:r>
        <w:rPr>
          <w:rFonts w:ascii="Times New Roman" w:eastAsia="Times New Roman"/>
        </w:rPr>
        <w:t>0200 2810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0902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1701 992</w:t>
      </w:r>
    </w:p>
    <w:p>
      <w:pPr>
        <w:pStyle w:val="2"/>
        <w:spacing w:before="4"/>
        <w:ind w:left="1332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六</w:t>
      </w:r>
      <w:r>
        <w:rPr>
          <w:rFonts w:hint="eastAsia" w:ascii="黑体" w:eastAsia="黑体"/>
        </w:rPr>
        <w:t>、有关事项</w:t>
      </w:r>
    </w:p>
    <w:p>
      <w:pPr>
        <w:pStyle w:val="2"/>
        <w:spacing w:line="350" w:lineRule="auto"/>
        <w:ind w:left="691" w:right="502" w:firstLine="640"/>
      </w:pPr>
      <w:r>
        <w:rPr>
          <w:rFonts w:ascii="Times New Roman" w:eastAsia="Times New Roman"/>
        </w:rPr>
        <w:t>1</w:t>
      </w:r>
      <w:r>
        <w:rPr>
          <w:spacing w:val="-13"/>
        </w:rPr>
        <w:t>、本次培训由中科地信</w:t>
      </w:r>
      <w:r>
        <w:t>（北京</w:t>
      </w:r>
      <w:r>
        <w:rPr>
          <w:spacing w:val="-48"/>
        </w:rPr>
        <w:t>）</w:t>
      </w:r>
      <w:r>
        <w:t xml:space="preserve">遥感信息技术研究院协办， </w:t>
      </w:r>
      <w:r>
        <w:rPr>
          <w:spacing w:val="-7"/>
        </w:rPr>
        <w:t>由北京乐业地信文化传播有限公司负责招生、收费、开具发票等会务保障，由北京数字绿土科技有限公司提供技术支持。</w:t>
      </w:r>
    </w:p>
    <w:p>
      <w:pPr>
        <w:pStyle w:val="2"/>
        <w:spacing w:before="4" w:line="350" w:lineRule="auto"/>
        <w:ind w:left="691" w:right="661" w:firstLine="640"/>
      </w:pPr>
      <w:r>
        <w:rPr>
          <w:rFonts w:ascii="Times New Roman" w:eastAsia="Times New Roman"/>
        </w:rPr>
        <w:t>2</w:t>
      </w:r>
      <w:r>
        <w:t>、本次培训由技能鉴定中心负责课程设计、师资选调。培训结业后由技能鉴定中心核发载有继续教育学时的结业证书。</w:t>
      </w:r>
    </w:p>
    <w:p>
      <w:pPr>
        <w:pStyle w:val="2"/>
        <w:spacing w:before="3" w:line="350" w:lineRule="auto"/>
        <w:ind w:left="691" w:right="661" w:firstLine="640"/>
        <w:jc w:val="both"/>
      </w:pPr>
      <w:r>
        <w:rPr>
          <w:rFonts w:ascii="Times New Roman" w:eastAsia="Times New Roman"/>
        </w:rPr>
        <w:t>3</w:t>
      </w:r>
      <w:r>
        <w:t>、请各有关单位及个人根据工作需要统筹安排好参加培训的人员， 于报名截止日期前将报名回执（ 见附件） 电邮到</w:t>
      </w:r>
      <w:r>
        <w:fldChar w:fldCharType="begin"/>
      </w:r>
      <w:r>
        <w:instrText xml:space="preserve"> HYPERLINK "mailto:gtsdpx@163.com" \h </w:instrText>
      </w:r>
      <w:r>
        <w:fldChar w:fldCharType="separate"/>
      </w:r>
      <w:r>
        <w:t>gtsdpx@163.com</w:t>
      </w:r>
      <w:r>
        <w:fldChar w:fldCharType="end"/>
      </w:r>
      <w:r>
        <w:t>。</w:t>
      </w:r>
    </w:p>
    <w:p>
      <w:pPr>
        <w:pStyle w:val="2"/>
        <w:spacing w:before="4"/>
        <w:ind w:left="1332"/>
        <w:jc w:val="both"/>
      </w:pPr>
      <w:r>
        <w:rPr>
          <w:rFonts w:ascii="Times New Roman" w:eastAsia="Times New Roman"/>
        </w:rPr>
        <w:t>4</w:t>
      </w:r>
      <w:r>
        <w:t>、培训班报名截止日期：</w:t>
      </w:r>
      <w:r>
        <w:rPr>
          <w:rFonts w:ascii="Times New Roman" w:eastAsia="Times New Roman"/>
        </w:rPr>
        <w:t xml:space="preserve">2019 </w:t>
      </w:r>
      <w:r>
        <w:t xml:space="preserve">年 </w:t>
      </w:r>
      <w:r>
        <w:rPr>
          <w:rFonts w:ascii="Times New Roman" w:eastAsia="Times New Roman"/>
        </w:rPr>
        <w:t xml:space="preserve">10 </w:t>
      </w:r>
      <w:r>
        <w:t xml:space="preserve">月 </w:t>
      </w:r>
      <w:r>
        <w:rPr>
          <w:rFonts w:ascii="Times New Roman" w:eastAsia="Times New Roman"/>
        </w:rPr>
        <w:t xml:space="preserve">8 </w:t>
      </w:r>
      <w:r>
        <w:t>日。</w:t>
      </w:r>
    </w:p>
    <w:p>
      <w:pPr>
        <w:pStyle w:val="2"/>
        <w:ind w:left="1332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七</w:t>
      </w:r>
      <w:r>
        <w:rPr>
          <w:rFonts w:hint="eastAsia" w:ascii="黑体" w:eastAsia="黑体"/>
        </w:rPr>
        <w:t>、联系人及联系方式</w:t>
      </w:r>
    </w:p>
    <w:p>
      <w:pPr>
        <w:pStyle w:val="2"/>
        <w:ind w:left="1332"/>
        <w:jc w:val="both"/>
        <w:rPr>
          <w:rFonts w:ascii="Times New Roman" w:eastAsia="Times New Roman"/>
        </w:rPr>
      </w:pPr>
      <w:r>
        <w:drawing>
          <wp:anchor distT="0" distB="0" distL="0" distR="0" simplePos="0" relativeHeight="251271168" behindDoc="1" locked="0" layoutInCell="1" allowOverlap="1">
            <wp:simplePos x="0" y="0"/>
            <wp:positionH relativeFrom="page">
              <wp:posOffset>4189095</wp:posOffset>
            </wp:positionH>
            <wp:positionV relativeFrom="paragraph">
              <wp:posOffset>212725</wp:posOffset>
            </wp:positionV>
            <wp:extent cx="1851025" cy="175704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961" cy="1757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2"/>
        </w:rPr>
        <w:t>联系人：</w:t>
      </w:r>
      <w:r>
        <w:rPr>
          <w:rFonts w:hint="eastAsia"/>
          <w:spacing w:val="22"/>
          <w:lang w:val="en-US" w:eastAsia="zh-CN"/>
        </w:rPr>
        <w:t>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老师</w:t>
      </w:r>
      <w:r>
        <w:rPr>
          <w:spacing w:val="22"/>
        </w:rPr>
        <w:t xml:space="preserve"> </w:t>
      </w:r>
      <w:r>
        <w:rPr>
          <w:rFonts w:hint="eastAsia"/>
          <w:spacing w:val="22"/>
          <w:lang w:val="en-US" w:eastAsia="zh-CN"/>
        </w:rPr>
        <w:t xml:space="preserve">      </w:t>
      </w:r>
      <w:r>
        <w:rPr>
          <w:rFonts w:hint="eastAsia"/>
          <w:spacing w:val="22"/>
        </w:rPr>
        <w:t>手  机：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241850614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（同微信）</w:t>
      </w:r>
    </w:p>
    <w:p>
      <w:pPr>
        <w:pStyle w:val="2"/>
        <w:ind w:left="1332"/>
        <w:jc w:val="both"/>
        <w:rPr>
          <w:rFonts w:hint="default" w:ascii="Times New Roman" w:eastAsia="宋体"/>
          <w:lang w:val="en-US" w:eastAsia="zh-CN"/>
        </w:rPr>
      </w:pPr>
      <w:r>
        <w:drawing>
          <wp:anchor distT="0" distB="0" distL="0" distR="0" simplePos="0" relativeHeight="251270144" behindDoc="1" locked="0" layoutInCell="1" allowOverlap="1">
            <wp:simplePos x="0" y="0"/>
            <wp:positionH relativeFrom="page">
              <wp:posOffset>1610995</wp:posOffset>
            </wp:positionH>
            <wp:positionV relativeFrom="paragraph">
              <wp:posOffset>161925</wp:posOffset>
            </wp:positionV>
            <wp:extent cx="1607820" cy="174180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669" cy="174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邮 箱 ：</w:t>
      </w:r>
      <w:r>
        <w:rPr>
          <w:rFonts w:hint="eastAsia"/>
          <w:lang w:val="en-US" w:eastAsia="zh-CN"/>
        </w:rPr>
        <w:t>631165373@qq.com</w:t>
      </w:r>
    </w:p>
    <w:p>
      <w:pPr>
        <w:pStyle w:val="2"/>
        <w:tabs>
          <w:tab w:val="left" w:pos="4641"/>
        </w:tabs>
        <w:ind w:right="620"/>
        <w:jc w:val="center"/>
      </w:pPr>
      <w:r>
        <w:t>北京乐业地信</w:t>
      </w:r>
      <w:r>
        <w:tab/>
      </w:r>
      <w:r>
        <w:t>自然资源部</w:t>
      </w:r>
    </w:p>
    <w:p>
      <w:pPr>
        <w:pStyle w:val="2"/>
        <w:tabs>
          <w:tab w:val="left" w:pos="5491"/>
        </w:tabs>
        <w:ind w:left="1332"/>
      </w:pPr>
      <w:r>
        <w:t>文化传播有限公司</w:t>
      </w:r>
      <w:r>
        <w:tab/>
      </w:r>
      <w:r>
        <w:t>职业技能鉴定指导中心</w:t>
      </w:r>
    </w:p>
    <w:p>
      <w:pPr>
        <w:pStyle w:val="2"/>
        <w:ind w:left="6017"/>
      </w:pPr>
      <w:r>
        <w:rPr>
          <w:rFonts w:ascii="Times New Roman" w:eastAsia="Times New Roman"/>
        </w:rPr>
        <w:t xml:space="preserve">2019 </w:t>
      </w:r>
      <w:r>
        <w:t xml:space="preserve">年 </w:t>
      </w:r>
      <w:r>
        <w:rPr>
          <w:rFonts w:ascii="Times New Roman" w:eastAsia="Times New Roman"/>
        </w:rPr>
        <w:t xml:space="preserve">9 </w:t>
      </w:r>
      <w:r>
        <w:t xml:space="preserve">月 </w:t>
      </w:r>
      <w:r>
        <w:rPr>
          <w:rFonts w:ascii="Times New Roman" w:eastAsia="Times New Roman"/>
        </w:rPr>
        <w:t xml:space="preserve">16 </w:t>
      </w:r>
      <w:r>
        <w:t>日</w:t>
      </w:r>
    </w:p>
    <w:p>
      <w:pPr>
        <w:spacing w:after="0"/>
        <w:sectPr>
          <w:pgSz w:w="11910" w:h="16840"/>
          <w:pgMar w:top="1540" w:right="800" w:bottom="280" w:left="940" w:header="720" w:footer="720" w:gutter="0"/>
        </w:sectPr>
      </w:pPr>
    </w:p>
    <w:p>
      <w:pPr>
        <w:tabs>
          <w:tab w:val="left" w:pos="4051"/>
        </w:tabs>
        <w:spacing w:before="0" w:line="687" w:lineRule="exact"/>
        <w:ind w:left="691" w:right="0" w:firstLine="0"/>
        <w:jc w:val="left"/>
        <w:rPr>
          <w:rFonts w:hint="eastAsia" w:ascii="Microsoft JhengHei" w:eastAsia="Microsoft JhengHei"/>
          <w:b/>
          <w:sz w:val="44"/>
        </w:rPr>
      </w:pPr>
      <w:r>
        <w:pict>
          <v:shape id="_x0000_s1029" o:spid="_x0000_s1029" o:spt="202" type="#_x0000_t202" style="position:absolute;left:0pt;margin-left:76pt;margin-top:29.1pt;height:637pt;width:452.0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9026" w:type="dxa"/>
                    <w:tblInd w:w="6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71"/>
                    <w:gridCol w:w="1305"/>
                    <w:gridCol w:w="1155"/>
                    <w:gridCol w:w="1140"/>
                    <w:gridCol w:w="1290"/>
                    <w:gridCol w:w="1425"/>
                    <w:gridCol w:w="14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9026" w:type="dxa"/>
                        <w:gridSpan w:val="7"/>
                      </w:tcPr>
                      <w:p>
                        <w:pPr>
                          <w:pStyle w:val="7"/>
                          <w:spacing w:before="161"/>
                          <w:ind w:left="3851" w:right="3844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单位信息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71" w:type="dxa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34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单位名称</w:t>
                        </w:r>
                      </w:p>
                    </w:tc>
                    <w:tc>
                      <w:tcPr>
                        <w:tcW w:w="3600" w:type="dxa"/>
                        <w:gridSpan w:val="3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45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联系人</w:t>
                        </w:r>
                      </w:p>
                    </w:tc>
                    <w:tc>
                      <w:tcPr>
                        <w:tcW w:w="2865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71" w:type="dxa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34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邮箱</w:t>
                        </w:r>
                      </w:p>
                    </w:tc>
                    <w:tc>
                      <w:tcPr>
                        <w:tcW w:w="3600" w:type="dxa"/>
                        <w:gridSpan w:val="3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45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865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71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34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邮寄地址</w:t>
                        </w:r>
                      </w:p>
                    </w:tc>
                    <w:tc>
                      <w:tcPr>
                        <w:tcW w:w="7755" w:type="dxa"/>
                        <w:gridSpan w:val="6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271" w:type="dxa"/>
                        <w:vMerge w:val="restart"/>
                        <w:vAlign w:val="top"/>
                      </w:tcPr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79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发票类型</w:t>
                        </w:r>
                      </w:p>
                    </w:tc>
                    <w:tc>
                      <w:tcPr>
                        <w:tcW w:w="2460" w:type="dxa"/>
                        <w:gridSpan w:val="2"/>
                        <w:vAlign w:val="top"/>
                      </w:tcPr>
                      <w:p>
                        <w:pPr>
                          <w:pStyle w:val="7"/>
                          <w:spacing w:before="14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□增值税普通发票</w:t>
                        </w:r>
                      </w:p>
                    </w:tc>
                    <w:tc>
                      <w:tcPr>
                        <w:tcW w:w="2430" w:type="dxa"/>
                        <w:gridSpan w:val="2"/>
                        <w:vAlign w:val="top"/>
                      </w:tcPr>
                      <w:p>
                        <w:pPr>
                          <w:pStyle w:val="7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4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纳税人识别号</w:t>
                        </w:r>
                      </w:p>
                    </w:tc>
                    <w:tc>
                      <w:tcPr>
                        <w:tcW w:w="2865" w:type="dxa"/>
                        <w:gridSpan w:val="2"/>
                        <w:vAlign w:val="top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27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55" w:type="dxa"/>
                        <w:gridSpan w:val="6"/>
                        <w:vAlign w:val="top"/>
                      </w:tcPr>
                      <w:p>
                        <w:pPr>
                          <w:pStyle w:val="7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line="468" w:lineRule="auto"/>
                          <w:ind w:left="107" w:right="57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□增值税专用发票单位名称：</w:t>
                        </w: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纳税人识别号：</w:t>
                        </w: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单位地址/电话：</w:t>
                        </w: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开户行/账号：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9026" w:type="dxa"/>
                        <w:gridSpan w:val="7"/>
                      </w:tcPr>
                      <w:p>
                        <w:pPr>
                          <w:pStyle w:val="7"/>
                          <w:spacing w:before="161"/>
                          <w:ind w:left="3851" w:right="3844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学员信息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71" w:type="dxa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34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2295" w:type="dxa"/>
                        <w:gridSpan w:val="2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887" w:right="8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手机</w:t>
                        </w:r>
                      </w:p>
                    </w:tc>
                    <w:tc>
                      <w:tcPr>
                        <w:tcW w:w="2715" w:type="dxa"/>
                        <w:gridSpan w:val="2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住宿预订/房间类型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冲抵学时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□不住 □单住 □拼住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7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728"/>
                          </w:tabs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□是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</w:tcPr>
                      <w:p>
                        <w:pPr>
                          <w:pStyle w:val="7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□不住 □单住 □拼住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7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728"/>
                          </w:tabs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□是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</w:tcPr>
                      <w:p>
                        <w:pPr>
                          <w:pStyle w:val="7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□不住 □单住 □拼住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728"/>
                          </w:tabs>
                          <w:spacing w:before="1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□是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7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5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15" w:type="dxa"/>
                        <w:gridSpan w:val="2"/>
                      </w:tcPr>
                      <w:p>
                        <w:pPr>
                          <w:pStyle w:val="7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□不住 □单住 □拼住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7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728"/>
                          </w:tabs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□是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□否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9026" w:type="dxa"/>
                        <w:gridSpan w:val="7"/>
                      </w:tcPr>
                      <w:p>
                        <w:pPr>
                          <w:pStyle w:val="7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住宿预订：单住/拼住，或可自行安排住宿。（拼住视为每人担负 0.5 房间费用）</w:t>
                        </w:r>
                      </w:p>
                    </w:tc>
                  </w:tr>
                </w:tbl>
                <w:p>
                  <w:pPr>
                    <w:pStyle w:val="2"/>
                    <w:spacing w:before="0"/>
                  </w:pPr>
                </w:p>
              </w:txbxContent>
            </v:textbox>
          </v:shape>
        </w:pict>
      </w:r>
      <w:r>
        <w:rPr>
          <w:sz w:val="32"/>
        </w:rPr>
        <w:t>附件：</w:t>
      </w:r>
      <w:r>
        <w:rPr>
          <w:sz w:val="32"/>
        </w:rPr>
        <w:tab/>
      </w:r>
      <w:r>
        <w:rPr>
          <w:rFonts w:hint="eastAsia" w:ascii="Microsoft JhengHei" w:eastAsia="Microsoft JhengHei"/>
          <w:b/>
          <w:sz w:val="44"/>
        </w:rPr>
        <w:t>报名回执表</w:t>
      </w: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0"/>
        <w:rPr>
          <w:rFonts w:ascii="Microsoft JhengHei"/>
          <w:b/>
          <w:sz w:val="44"/>
        </w:rPr>
      </w:pPr>
    </w:p>
    <w:p>
      <w:pPr>
        <w:pStyle w:val="2"/>
        <w:spacing w:before="15"/>
        <w:rPr>
          <w:rFonts w:ascii="Microsoft JhengHei"/>
          <w:b/>
          <w:sz w:val="35"/>
        </w:rPr>
      </w:pPr>
    </w:p>
    <w:p>
      <w:pPr>
        <w:pStyle w:val="2"/>
        <w:spacing w:before="0"/>
        <w:ind w:left="691"/>
        <w:rPr>
          <w:rFonts w:hint="default" w:eastAsia="宋体"/>
          <w:lang w:val="en-US" w:eastAsia="zh-CN"/>
        </w:rPr>
      </w:pPr>
      <w:r>
        <w:t xml:space="preserve">请将回执表传至 </w:t>
      </w:r>
      <w:r>
        <w:rPr>
          <w:rFonts w:hint="eastAsia"/>
          <w:lang w:val="en-US" w:eastAsia="zh-CN"/>
        </w:rPr>
        <w:t>631165373</w:t>
      </w:r>
      <w:bookmarkStart w:id="0" w:name="_GoBack"/>
      <w:bookmarkEnd w:id="0"/>
      <w:r>
        <w:rPr>
          <w:rFonts w:hint="eastAsia"/>
          <w:lang w:val="en-US" w:eastAsia="zh-CN"/>
        </w:rPr>
        <w:t>@qq.com</w:t>
      </w:r>
    </w:p>
    <w:sectPr>
      <w:pgSz w:w="11910" w:h="16840"/>
      <w:pgMar w:top="1440" w:right="800" w:bottom="280" w:left="9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21F6E24"/>
    <w:rsid w:val="170C0DE7"/>
    <w:rsid w:val="32513A80"/>
    <w:rsid w:val="37DF628E"/>
    <w:rsid w:val="49710627"/>
    <w:rsid w:val="77E64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2019-09-17T05:43:00Z</dcterms:created>
  <dc:creator>lj</dc:creator>
  <cp:lastModifiedBy>TJX.</cp:lastModifiedBy>
  <dcterms:modified xsi:type="dcterms:W3CDTF">2019-09-17T06:21:58Z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2019-09-17T00:00:00Z</vt:filetime>
  </property>
  <property fmtid="{D5CDD505-2E9C-101B-9397-08002B2CF9AE}" pid="5" name="KSOProductBuildVer">
    <vt:lpwstr>2052-11.1.0.8976</vt:lpwstr>
  </property>
</Properties>
</file>